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short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68.4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1.215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0.962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-0.318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79.5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23.0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25.1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71.8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79.5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